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方正仿宋简体" w:cs="Times New Roman"/>
          <w:sz w:val="32"/>
          <w:szCs w:val="32"/>
        </w:rPr>
      </w:pPr>
      <w:r>
        <w:rPr>
          <w:rFonts w:ascii="Times New Roman" w:hAnsi="Times New Roman" w:eastAsia="方正仿宋简体" w:cs="Times New Roman"/>
          <w:sz w:val="32"/>
          <w:szCs w:val="32"/>
        </w:rPr>
        <w:t>附件</w:t>
      </w:r>
    </w:p>
    <w:p>
      <w:pPr>
        <w:spacing w:line="600" w:lineRule="exact"/>
        <w:rPr>
          <w:rFonts w:ascii="Times New Roman" w:hAnsi="Times New Roman" w:eastAsia="方正仿宋简体" w:cs="Times New Roman"/>
          <w:sz w:val="32"/>
          <w:szCs w:val="32"/>
        </w:rPr>
      </w:pPr>
    </w:p>
    <w:p>
      <w:pPr>
        <w:adjustRightInd w:val="0"/>
        <w:snapToGrid w:val="0"/>
        <w:spacing w:line="600" w:lineRule="exact"/>
        <w:ind w:left="1129"/>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二季度智库重点研究方向</w:t>
      </w:r>
    </w:p>
    <w:p>
      <w:pPr>
        <w:adjustRightInd w:val="0"/>
        <w:snapToGrid w:val="0"/>
        <w:spacing w:line="600" w:lineRule="exact"/>
        <w:ind w:left="1129"/>
        <w:jc w:val="center"/>
        <w:rPr>
          <w:rFonts w:ascii="Times New Roman" w:hAnsi="Times New Roman" w:eastAsia="方正小标宋简体" w:cs="Times New Roman"/>
          <w:sz w:val="44"/>
          <w:szCs w:val="44"/>
        </w:rPr>
      </w:pPr>
    </w:p>
    <w:p>
      <w:pPr>
        <w:numPr>
          <w:ilvl w:val="0"/>
          <w:numId w:val="1"/>
        </w:numPr>
        <w:adjustRightInd w:val="0"/>
        <w:snapToGrid w:val="0"/>
        <w:spacing w:line="600" w:lineRule="exact"/>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我省做好“六保”“六稳”工作的对策建议</w:t>
      </w:r>
    </w:p>
    <w:p>
      <w:pPr>
        <w:numPr>
          <w:ilvl w:val="0"/>
          <w:numId w:val="1"/>
        </w:numPr>
        <w:adjustRightInd w:val="0"/>
        <w:snapToGrid w:val="0"/>
        <w:spacing w:line="600" w:lineRule="exact"/>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疫情常态化防控条件下做好经济社会发展的对策建议</w:t>
      </w:r>
      <w:bookmarkStart w:id="0" w:name="_GoBack"/>
      <w:bookmarkEnd w:id="0"/>
    </w:p>
    <w:p>
      <w:pPr>
        <w:numPr>
          <w:ilvl w:val="0"/>
          <w:numId w:val="1"/>
        </w:numPr>
        <w:adjustRightInd w:val="0"/>
        <w:snapToGrid w:val="0"/>
        <w:spacing w:line="600" w:lineRule="exact"/>
        <w:rPr>
          <w:rFonts w:hint="eastAsia" w:ascii="Times New Roman" w:hAnsi="Times New Roman" w:eastAsia="方正仿宋简体" w:cs="Times New Roman"/>
          <w:sz w:val="32"/>
          <w:szCs w:val="32"/>
        </w:rPr>
      </w:pPr>
      <w:r>
        <w:rPr>
          <w:rFonts w:ascii="Times New Roman" w:eastAsia="方正仿宋简体" w:cs="Times New Roman"/>
          <w:sz w:val="32"/>
          <w:szCs w:val="32"/>
        </w:rPr>
        <w:t>黑龙江省文旅产业高质量发展的对策研究</w:t>
      </w:r>
    </w:p>
    <w:p>
      <w:pPr>
        <w:numPr>
          <w:ilvl w:val="0"/>
          <w:numId w:val="1"/>
        </w:numPr>
        <w:adjustRightInd w:val="0"/>
        <w:snapToGrid w:val="0"/>
        <w:spacing w:line="600" w:lineRule="exact"/>
        <w:rPr>
          <w:rFonts w:hint="eastAsia" w:ascii="Times New Roman" w:hAnsi="Times New Roman" w:eastAsia="方正仿宋简体" w:cs="Times New Roman"/>
          <w:sz w:val="32"/>
          <w:szCs w:val="32"/>
        </w:rPr>
      </w:pPr>
      <w:r>
        <w:rPr>
          <w:rFonts w:ascii="Times New Roman" w:eastAsia="方正仿宋简体" w:cs="Times New Roman"/>
          <w:sz w:val="32"/>
          <w:szCs w:val="32"/>
        </w:rPr>
        <w:t>黑龙江省文旅产业发展的体制机制创新研究</w:t>
      </w:r>
    </w:p>
    <w:p>
      <w:pPr>
        <w:numPr>
          <w:ilvl w:val="0"/>
          <w:numId w:val="1"/>
        </w:numPr>
        <w:adjustRightInd w:val="0"/>
        <w:snapToGrid w:val="0"/>
        <w:spacing w:line="600" w:lineRule="exact"/>
        <w:rPr>
          <w:rFonts w:hint="eastAsia" w:ascii="Times New Roman" w:hAnsi="Times New Roman" w:eastAsia="方正仿宋简体" w:cs="Times New Roman"/>
          <w:sz w:val="32"/>
          <w:szCs w:val="32"/>
        </w:rPr>
      </w:pPr>
      <w:r>
        <w:rPr>
          <w:rFonts w:ascii="Times New Roman" w:eastAsia="方正仿宋简体" w:cs="Times New Roman"/>
          <w:sz w:val="32"/>
          <w:szCs w:val="32"/>
        </w:rPr>
        <w:t>强化宗教领域意识形态安全的对策建议</w:t>
      </w:r>
    </w:p>
    <w:p>
      <w:pPr>
        <w:numPr>
          <w:ilvl w:val="0"/>
          <w:numId w:val="1"/>
        </w:numPr>
        <w:adjustRightInd w:val="0"/>
        <w:snapToGrid w:val="0"/>
        <w:spacing w:line="600" w:lineRule="exact"/>
        <w:rPr>
          <w:rFonts w:hint="eastAsia" w:ascii="Times New Roman" w:hAnsi="Times New Roman" w:eastAsia="方正仿宋简体" w:cs="Times New Roman"/>
          <w:sz w:val="32"/>
          <w:szCs w:val="32"/>
        </w:rPr>
      </w:pPr>
      <w:r>
        <w:rPr>
          <w:rFonts w:ascii="Times New Roman" w:eastAsia="方正仿宋简体" w:cs="Times New Roman"/>
          <w:sz w:val="32"/>
          <w:szCs w:val="32"/>
        </w:rPr>
        <w:t>关于新时代加强</w:t>
      </w:r>
      <w:r>
        <w:rPr>
          <w:rFonts w:hint="eastAsia" w:ascii="Times New Roman" w:eastAsia="方正仿宋简体" w:cs="Times New Roman"/>
          <w:sz w:val="32"/>
          <w:szCs w:val="32"/>
        </w:rPr>
        <w:t>黑龙江省</w:t>
      </w:r>
      <w:r>
        <w:rPr>
          <w:rFonts w:ascii="Times New Roman" w:eastAsia="方正仿宋简体" w:cs="Times New Roman"/>
          <w:sz w:val="32"/>
          <w:szCs w:val="32"/>
        </w:rPr>
        <w:t>乡风文明建设研究</w:t>
      </w:r>
    </w:p>
    <w:p>
      <w:pPr>
        <w:numPr>
          <w:ilvl w:val="0"/>
          <w:numId w:val="1"/>
        </w:numPr>
        <w:adjustRightInd w:val="0"/>
        <w:snapToGrid w:val="0"/>
        <w:spacing w:line="600" w:lineRule="exact"/>
        <w:rPr>
          <w:rFonts w:hint="eastAsia" w:ascii="Times New Roman" w:hAnsi="Times New Roman" w:eastAsia="方正仿宋简体" w:cs="Times New Roman"/>
          <w:sz w:val="32"/>
          <w:szCs w:val="32"/>
        </w:rPr>
      </w:pPr>
      <w:r>
        <w:rPr>
          <w:rFonts w:ascii="Times New Roman" w:eastAsia="方正仿宋简体" w:cs="Times New Roman"/>
          <w:sz w:val="32"/>
          <w:szCs w:val="32"/>
        </w:rPr>
        <w:t>市地国有文化资产监管状况研究</w:t>
      </w:r>
    </w:p>
    <w:p>
      <w:pPr>
        <w:numPr>
          <w:ilvl w:val="0"/>
          <w:numId w:val="1"/>
        </w:numPr>
        <w:adjustRightInd w:val="0"/>
        <w:snapToGrid w:val="0"/>
        <w:spacing w:line="600" w:lineRule="exact"/>
        <w:rPr>
          <w:rFonts w:hint="eastAsia" w:ascii="Times New Roman" w:hAnsi="Times New Roman" w:eastAsia="方正仿宋简体" w:cs="Times New Roman"/>
          <w:sz w:val="32"/>
          <w:szCs w:val="32"/>
        </w:rPr>
      </w:pPr>
      <w:r>
        <w:rPr>
          <w:rFonts w:ascii="Times New Roman" w:eastAsia="方正仿宋简体" w:cs="Times New Roman"/>
          <w:sz w:val="32"/>
          <w:szCs w:val="32"/>
        </w:rPr>
        <w:t>关于我省高校如何以四进四信专题教学为重点加强思政课建设的研究</w:t>
      </w:r>
    </w:p>
    <w:p>
      <w:pPr>
        <w:numPr>
          <w:ilvl w:val="0"/>
          <w:numId w:val="1"/>
        </w:numPr>
        <w:adjustRightInd w:val="0"/>
        <w:snapToGrid w:val="0"/>
        <w:spacing w:line="600" w:lineRule="exact"/>
        <w:rPr>
          <w:rFonts w:hint="eastAsia" w:ascii="Times New Roman" w:hAnsi="Times New Roman" w:eastAsia="方正仿宋简体" w:cs="Times New Roman"/>
          <w:sz w:val="32"/>
          <w:szCs w:val="32"/>
        </w:rPr>
      </w:pPr>
      <w:r>
        <w:rPr>
          <w:rFonts w:ascii="Times New Roman" w:eastAsia="方正仿宋简体" w:cs="Times New Roman"/>
          <w:sz w:val="32"/>
          <w:szCs w:val="32"/>
        </w:rPr>
        <w:t>社科期刊意识形态风险防控问题研究</w:t>
      </w:r>
    </w:p>
    <w:p>
      <w:pPr>
        <w:numPr>
          <w:ilvl w:val="0"/>
          <w:numId w:val="1"/>
        </w:numPr>
        <w:adjustRightInd w:val="0"/>
        <w:snapToGrid w:val="0"/>
        <w:spacing w:line="600" w:lineRule="exact"/>
        <w:rPr>
          <w:rFonts w:hint="eastAsia" w:ascii="Times New Roman" w:hAnsi="Times New Roman" w:eastAsia="方正仿宋简体" w:cs="Times New Roman"/>
          <w:sz w:val="32"/>
          <w:szCs w:val="32"/>
        </w:rPr>
      </w:pPr>
      <w:r>
        <w:rPr>
          <w:rFonts w:ascii="Times New Roman" w:eastAsia="方正仿宋简体" w:cs="Times New Roman"/>
          <w:sz w:val="32"/>
          <w:szCs w:val="32"/>
        </w:rPr>
        <w:t>健全完善我省新闻发布工作制度研究</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我省机构改革的形势下做好党报党刊发行工作研究</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维护网络意识形态安全的对策与建议</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提升服务质量和水平，促进龙江医药产业高质量发展</w:t>
      </w:r>
      <w:r>
        <w:rPr>
          <w:rFonts w:hint="eastAsia" w:ascii="Times New Roman" w:eastAsia="方正仿宋简体" w:cs="Times New Roman"/>
          <w:sz w:val="32"/>
          <w:szCs w:val="32"/>
        </w:rPr>
        <w:t>研究</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加快职业化专业化药品检查员队伍建设</w:t>
      </w:r>
      <w:r>
        <w:rPr>
          <w:rFonts w:hint="eastAsia" w:ascii="Times New Roman" w:eastAsia="方正仿宋简体" w:cs="Times New Roman"/>
          <w:sz w:val="32"/>
          <w:szCs w:val="32"/>
        </w:rPr>
        <w:t>研究</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如何丰富发展新时期北大荒精神新内涵</w:t>
      </w:r>
      <w:r>
        <w:rPr>
          <w:rFonts w:hint="eastAsia" w:ascii="Times New Roman" w:eastAsia="方正仿宋简体" w:cs="Times New Roman"/>
          <w:sz w:val="32"/>
          <w:szCs w:val="32"/>
        </w:rPr>
        <w:t>研究</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我省造林绿化存在的问题及对策</w:t>
      </w:r>
      <w:r>
        <w:rPr>
          <w:rFonts w:hint="eastAsia" w:ascii="Times New Roman" w:eastAsia="方正仿宋简体" w:cs="Times New Roman"/>
          <w:sz w:val="32"/>
          <w:szCs w:val="32"/>
        </w:rPr>
        <w:t>研究</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黑龙江省科技治理体系治理能力现代化研究</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黑龙江省激发科研院所创新动能机制研究主流媒体通过内容建设，助力龙江冰雪文化旅游品牌的创新路径研究</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党报版权保护的困境及</w:t>
      </w:r>
      <w:r>
        <w:rPr>
          <w:rFonts w:hint="eastAsia" w:ascii="方正仿宋简体" w:hAnsi="Times New Roman" w:eastAsia="方正仿宋简体" w:cs="Times New Roman"/>
          <w:sz w:val="32"/>
          <w:szCs w:val="32"/>
        </w:rPr>
        <w:t>“</w:t>
      </w:r>
      <w:r>
        <w:rPr>
          <w:rFonts w:hint="eastAsia" w:ascii="方正仿宋简体" w:eastAsia="方正仿宋简体" w:cs="Times New Roman"/>
          <w:sz w:val="32"/>
          <w:szCs w:val="32"/>
        </w:rPr>
        <w:t>事先保护</w:t>
      </w:r>
      <w:r>
        <w:rPr>
          <w:rFonts w:hint="eastAsia" w:ascii="方正仿宋简体" w:hAnsi="Times New Roman" w:eastAsia="方正仿宋简体" w:cs="Times New Roman"/>
          <w:sz w:val="32"/>
          <w:szCs w:val="32"/>
        </w:rPr>
        <w:t>”</w:t>
      </w:r>
      <w:r>
        <w:rPr>
          <w:rFonts w:ascii="Times New Roman" w:eastAsia="方正仿宋简体" w:cs="Times New Roman"/>
          <w:sz w:val="32"/>
          <w:szCs w:val="32"/>
        </w:rPr>
        <w:t>的可行性</w:t>
      </w:r>
      <w:r>
        <w:rPr>
          <w:rFonts w:hint="eastAsia" w:ascii="Times New Roman" w:eastAsia="方正仿宋简体" w:cs="Times New Roman"/>
          <w:sz w:val="32"/>
          <w:szCs w:val="32"/>
        </w:rPr>
        <w:t>研究</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提高应急管理培训质量效果</w:t>
      </w:r>
      <w:r>
        <w:rPr>
          <w:rFonts w:hint="eastAsia" w:ascii="Times New Roman" w:eastAsia="方正仿宋简体" w:cs="Times New Roman"/>
          <w:sz w:val="32"/>
          <w:szCs w:val="32"/>
        </w:rPr>
        <w:t>研究</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防范森林雷击火的有效措施</w:t>
      </w:r>
      <w:r>
        <w:rPr>
          <w:rFonts w:hint="eastAsia" w:ascii="Times New Roman" w:eastAsia="方正仿宋简体" w:cs="Times New Roman"/>
          <w:sz w:val="32"/>
          <w:szCs w:val="32"/>
        </w:rPr>
        <w:t>研究</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如何以问题为导向研究和分析解决我省中医医疗机构高层次人才外流严重、基层中医药服务人员缺口严重</w:t>
      </w:r>
      <w:r>
        <w:rPr>
          <w:rFonts w:hint="eastAsia" w:ascii="Times New Roman" w:eastAsia="方正仿宋简体" w:cs="Times New Roman"/>
          <w:sz w:val="32"/>
          <w:szCs w:val="32"/>
        </w:rPr>
        <w:t>问题研究</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全省保健机构经济运营状况和管理模式</w:t>
      </w:r>
      <w:r>
        <w:rPr>
          <w:rFonts w:hint="eastAsia" w:ascii="Times New Roman" w:eastAsia="方正仿宋简体" w:cs="Times New Roman"/>
          <w:sz w:val="32"/>
          <w:szCs w:val="32"/>
        </w:rPr>
        <w:t>研究</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如何解决订单定向生违约严重的问题</w:t>
      </w:r>
      <w:r>
        <w:rPr>
          <w:rFonts w:hint="eastAsia" w:ascii="Times New Roman" w:eastAsia="方正仿宋简体" w:cs="Times New Roman"/>
          <w:sz w:val="32"/>
          <w:szCs w:val="32"/>
        </w:rPr>
        <w:t>研究</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黑龙江省旅居康养产业消费趋势和营销模式分析</w:t>
      </w:r>
      <w:r>
        <w:rPr>
          <w:rFonts w:hint="eastAsia" w:ascii="Times New Roman" w:eastAsia="方正仿宋简体" w:cs="Times New Roman"/>
          <w:sz w:val="32"/>
          <w:szCs w:val="32"/>
        </w:rPr>
        <w:t>研究</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黑龙江省卫星产业发展思路</w:t>
      </w:r>
      <w:r>
        <w:rPr>
          <w:rFonts w:hint="eastAsia" w:ascii="Times New Roman" w:eastAsia="方正仿宋简体" w:cs="Times New Roman"/>
          <w:sz w:val="32"/>
          <w:szCs w:val="32"/>
        </w:rPr>
        <w:t>研究</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黑龙江省人口人才流动及对策研究</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社会性别意识纳入决策主流</w:t>
      </w:r>
      <w:r>
        <w:rPr>
          <w:rFonts w:hint="eastAsia" w:ascii="Times New Roman" w:eastAsia="方正仿宋简体" w:cs="Times New Roman"/>
          <w:sz w:val="32"/>
          <w:szCs w:val="32"/>
        </w:rPr>
        <w:t>研究</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0-3</w:t>
      </w:r>
      <w:r>
        <w:rPr>
          <w:rFonts w:ascii="Times New Roman" w:eastAsia="方正仿宋简体" w:cs="Times New Roman"/>
          <w:sz w:val="32"/>
          <w:szCs w:val="32"/>
        </w:rPr>
        <w:t>岁托育服务体系建设</w:t>
      </w:r>
      <w:r>
        <w:rPr>
          <w:rFonts w:hint="eastAsia" w:ascii="Times New Roman" w:eastAsia="方正仿宋简体" w:cs="Times New Roman"/>
          <w:sz w:val="32"/>
          <w:szCs w:val="32"/>
        </w:rPr>
        <w:t>研究</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理顺广播电视无线发射台站隶属与管理关系</w:t>
      </w:r>
      <w:r>
        <w:rPr>
          <w:rFonts w:hint="eastAsia" w:ascii="Times New Roman" w:eastAsia="方正仿宋简体" w:cs="Times New Roman"/>
          <w:sz w:val="32"/>
          <w:szCs w:val="32"/>
        </w:rPr>
        <w:t>研究</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煤矿充填开采技术应用</w:t>
      </w:r>
      <w:r>
        <w:rPr>
          <w:rFonts w:hint="eastAsia" w:ascii="Times New Roman" w:eastAsia="方正仿宋简体" w:cs="Times New Roman"/>
          <w:sz w:val="32"/>
          <w:szCs w:val="32"/>
        </w:rPr>
        <w:t>研究</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如何解决全省煤矿安全生产技术人员引进不足、流失严重的问题</w:t>
      </w:r>
      <w:r>
        <w:rPr>
          <w:rFonts w:hint="eastAsia" w:ascii="Times New Roman" w:eastAsia="方正仿宋简体" w:cs="Times New Roman"/>
          <w:sz w:val="32"/>
          <w:szCs w:val="32"/>
        </w:rPr>
        <w:t>研究</w:t>
      </w:r>
    </w:p>
    <w:p>
      <w:pPr>
        <w:numPr>
          <w:ilvl w:val="0"/>
          <w:numId w:val="1"/>
        </w:numPr>
        <w:adjustRightInd w:val="0"/>
        <w:snapToGrid w:val="0"/>
        <w:spacing w:line="600" w:lineRule="exact"/>
        <w:rPr>
          <w:rFonts w:hint="eastAsia" w:ascii="Times New Roman" w:hAnsi="Times New Roman" w:eastAsia="方正仿宋简体" w:cs="Times New Roman"/>
          <w:sz w:val="32"/>
          <w:szCs w:val="32"/>
        </w:rPr>
      </w:pPr>
      <w:r>
        <w:rPr>
          <w:rFonts w:ascii="Times New Roman" w:eastAsia="方正仿宋简体" w:cs="Times New Roman"/>
          <w:sz w:val="32"/>
          <w:szCs w:val="32"/>
        </w:rPr>
        <w:t>关于全省少数民族文化传承与发展的研究</w:t>
      </w:r>
    </w:p>
    <w:p>
      <w:pPr>
        <w:numPr>
          <w:ilvl w:val="0"/>
          <w:numId w:val="1"/>
        </w:numPr>
        <w:adjustRightInd w:val="0"/>
        <w:snapToGrid w:val="0"/>
        <w:spacing w:line="600" w:lineRule="exact"/>
        <w:rPr>
          <w:rFonts w:hint="eastAsia" w:ascii="Times New Roman" w:hAnsi="Times New Roman" w:eastAsia="方正仿宋简体" w:cs="Times New Roman"/>
          <w:sz w:val="32"/>
          <w:szCs w:val="32"/>
        </w:rPr>
      </w:pPr>
      <w:r>
        <w:rPr>
          <w:rFonts w:ascii="Times New Roman" w:eastAsia="方正仿宋简体" w:cs="Times New Roman"/>
          <w:sz w:val="32"/>
          <w:szCs w:val="32"/>
        </w:rPr>
        <w:t>关于如何推进我省各宗教中国化的调查研究</w:t>
      </w:r>
    </w:p>
    <w:p>
      <w:pPr>
        <w:numPr>
          <w:ilvl w:val="0"/>
          <w:numId w:val="1"/>
        </w:numPr>
        <w:adjustRightInd w:val="0"/>
        <w:snapToGrid w:val="0"/>
        <w:spacing w:line="600" w:lineRule="exact"/>
        <w:rPr>
          <w:rFonts w:hint="eastAsia" w:ascii="Times New Roman" w:hAnsi="Times New Roman" w:eastAsia="方正仿宋简体" w:cs="Times New Roman"/>
          <w:sz w:val="32"/>
          <w:szCs w:val="32"/>
        </w:rPr>
      </w:pPr>
      <w:r>
        <w:rPr>
          <w:rFonts w:ascii="Times New Roman" w:eastAsia="方正仿宋简体" w:cs="Times New Roman"/>
          <w:sz w:val="32"/>
          <w:szCs w:val="32"/>
        </w:rPr>
        <w:t>技工教育支持省内重点产业发展研究</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推动我省农业高质量发展研究</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我省资源枯竭型城市转型发展研究</w:t>
      </w:r>
    </w:p>
    <w:p>
      <w:pPr>
        <w:numPr>
          <w:ilvl w:val="0"/>
          <w:numId w:val="1"/>
        </w:numPr>
        <w:adjustRightInd w:val="0"/>
        <w:snapToGrid w:val="0"/>
        <w:spacing w:line="600" w:lineRule="exact"/>
        <w:rPr>
          <w:rFonts w:hint="eastAsia" w:ascii="Times New Roman" w:hAnsi="Times New Roman" w:eastAsia="方正仿宋简体" w:cs="Times New Roman"/>
          <w:sz w:val="32"/>
          <w:szCs w:val="32"/>
        </w:rPr>
      </w:pPr>
      <w:r>
        <w:rPr>
          <w:rFonts w:ascii="Times New Roman" w:eastAsia="方正仿宋简体" w:cs="Times New Roman"/>
          <w:sz w:val="32"/>
          <w:szCs w:val="32"/>
        </w:rPr>
        <w:t>健全我省为人民执政、靠人民执政制度研究</w:t>
      </w:r>
    </w:p>
    <w:p>
      <w:pPr>
        <w:numPr>
          <w:ilvl w:val="0"/>
          <w:numId w:val="1"/>
        </w:numPr>
        <w:adjustRightInd w:val="0"/>
        <w:snapToGrid w:val="0"/>
        <w:spacing w:line="600" w:lineRule="exact"/>
        <w:rPr>
          <w:rFonts w:hint="eastAsia" w:ascii="Times New Roman" w:hAnsi="Times New Roman" w:eastAsia="方正仿宋简体" w:cs="Times New Roman"/>
          <w:sz w:val="32"/>
          <w:szCs w:val="32"/>
        </w:rPr>
      </w:pPr>
      <w:r>
        <w:rPr>
          <w:rFonts w:ascii="Times New Roman" w:eastAsia="方正仿宋简体" w:cs="Times New Roman"/>
          <w:sz w:val="32"/>
          <w:szCs w:val="32"/>
        </w:rPr>
        <w:t>我省一体推进不敢腐不能腐不想腐机制研究</w:t>
      </w:r>
    </w:p>
    <w:p>
      <w:pPr>
        <w:numPr>
          <w:ilvl w:val="0"/>
          <w:numId w:val="1"/>
        </w:numPr>
        <w:adjustRightInd w:val="0"/>
        <w:snapToGrid w:val="0"/>
        <w:spacing w:line="600" w:lineRule="exact"/>
        <w:rPr>
          <w:rFonts w:hint="eastAsia" w:ascii="Times New Roman" w:hAnsi="Times New Roman" w:eastAsia="方正仿宋简体" w:cs="Times New Roman"/>
          <w:sz w:val="32"/>
          <w:szCs w:val="32"/>
        </w:rPr>
      </w:pPr>
      <w:r>
        <w:rPr>
          <w:rFonts w:ascii="Times New Roman" w:eastAsia="方正仿宋简体" w:cs="Times New Roman"/>
          <w:sz w:val="32"/>
          <w:szCs w:val="32"/>
        </w:rPr>
        <w:t>农村基层党组织带头人队伍建设研究</w:t>
      </w:r>
    </w:p>
    <w:p>
      <w:pPr>
        <w:numPr>
          <w:ilvl w:val="0"/>
          <w:numId w:val="1"/>
        </w:numPr>
        <w:adjustRightInd w:val="0"/>
        <w:snapToGrid w:val="0"/>
        <w:spacing w:line="600" w:lineRule="exact"/>
        <w:rPr>
          <w:rFonts w:hint="eastAsia" w:ascii="Times New Roman" w:hAnsi="Times New Roman" w:eastAsia="方正仿宋简体" w:cs="Times New Roman"/>
          <w:sz w:val="32"/>
          <w:szCs w:val="32"/>
        </w:rPr>
      </w:pPr>
      <w:r>
        <w:rPr>
          <w:rFonts w:ascii="Times New Roman" w:eastAsia="方正仿宋简体" w:cs="Times New Roman"/>
          <w:sz w:val="32"/>
          <w:szCs w:val="32"/>
        </w:rPr>
        <w:t>我省网络人士现状及引导策略研究</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如何为无党派人士发挥作用搭建平台创造舞台</w:t>
      </w:r>
      <w:r>
        <w:rPr>
          <w:rFonts w:hint="eastAsia" w:ascii="Times New Roman" w:eastAsia="方正仿宋简体" w:cs="Times New Roman"/>
          <w:sz w:val="32"/>
          <w:szCs w:val="32"/>
        </w:rPr>
        <w:t>研究</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关于建立有效反哺黑土地保护的激励补偿机制研究</w:t>
      </w:r>
    </w:p>
    <w:p>
      <w:pPr>
        <w:numPr>
          <w:ilvl w:val="0"/>
          <w:numId w:val="1"/>
        </w:numPr>
        <w:adjustRightInd w:val="0"/>
        <w:snapToGrid w:val="0"/>
        <w:spacing w:line="600" w:lineRule="exact"/>
        <w:rPr>
          <w:rFonts w:hint="eastAsia" w:ascii="Times New Roman" w:hAnsi="Times New Roman" w:eastAsia="方正仿宋简体" w:cs="Times New Roman"/>
          <w:sz w:val="32"/>
          <w:szCs w:val="32"/>
        </w:rPr>
      </w:pPr>
      <w:r>
        <w:rPr>
          <w:rFonts w:ascii="Times New Roman" w:eastAsia="方正仿宋简体" w:cs="Times New Roman"/>
          <w:sz w:val="32"/>
          <w:szCs w:val="32"/>
        </w:rPr>
        <w:t>意识形态领域亟待关注的主要问题、风险点预测及对策建议</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种粮大户种植意向分析研判</w:t>
      </w:r>
      <w:r>
        <w:rPr>
          <w:rFonts w:hint="eastAsia" w:ascii="Times New Roman" w:eastAsia="方正仿宋简体" w:cs="Times New Roman"/>
          <w:sz w:val="32"/>
          <w:szCs w:val="32"/>
        </w:rPr>
        <w:t>研究</w:t>
      </w:r>
    </w:p>
    <w:p>
      <w:pPr>
        <w:numPr>
          <w:ilvl w:val="0"/>
          <w:numId w:val="1"/>
        </w:numPr>
        <w:adjustRightInd w:val="0"/>
        <w:snapToGrid w:val="0"/>
        <w:spacing w:line="600" w:lineRule="exact"/>
        <w:rPr>
          <w:rFonts w:hint="eastAsia" w:ascii="Times New Roman" w:hAnsi="Times New Roman" w:eastAsia="方正仿宋简体" w:cs="Times New Roman"/>
          <w:sz w:val="32"/>
          <w:szCs w:val="32"/>
        </w:rPr>
      </w:pPr>
      <w:r>
        <w:rPr>
          <w:rFonts w:ascii="Times New Roman" w:eastAsia="方正仿宋简体" w:cs="Times New Roman"/>
          <w:sz w:val="32"/>
          <w:szCs w:val="32"/>
        </w:rPr>
        <w:t>我国养老产业发展情况、面临问题及建议</w:t>
      </w:r>
    </w:p>
    <w:p>
      <w:pPr>
        <w:numPr>
          <w:ilvl w:val="0"/>
          <w:numId w:val="1"/>
        </w:numPr>
        <w:adjustRightInd w:val="0"/>
        <w:snapToGrid w:val="0"/>
        <w:spacing w:line="600" w:lineRule="exact"/>
        <w:rPr>
          <w:rFonts w:hint="eastAsia" w:ascii="Times New Roman" w:hAnsi="Times New Roman" w:eastAsia="方正仿宋简体" w:cs="Times New Roman"/>
          <w:sz w:val="32"/>
          <w:szCs w:val="32"/>
        </w:rPr>
      </w:pPr>
      <w:r>
        <w:rPr>
          <w:rFonts w:ascii="Times New Roman" w:eastAsia="方正仿宋简体" w:cs="Times New Roman"/>
          <w:sz w:val="32"/>
          <w:szCs w:val="32"/>
        </w:rPr>
        <w:t>制约中日韩自贸区建设因素分析及相关建议</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黑龙江省人口老龄化背景下医疗保障制度改革研究</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知识产权地方综合立法研究</w:t>
      </w:r>
    </w:p>
    <w:p>
      <w:pPr>
        <w:numPr>
          <w:ilvl w:val="0"/>
          <w:numId w:val="1"/>
        </w:numPr>
        <w:adjustRightInd w:val="0"/>
        <w:snapToGrid w:val="0"/>
        <w:spacing w:line="600" w:lineRule="exact"/>
        <w:rPr>
          <w:rFonts w:hint="eastAsia" w:ascii="Times New Roman" w:hAnsi="Times New Roman" w:eastAsia="方正仿宋简体" w:cs="Times New Roman"/>
          <w:sz w:val="32"/>
          <w:szCs w:val="32"/>
        </w:rPr>
      </w:pPr>
      <w:r>
        <w:rPr>
          <w:rFonts w:ascii="Times New Roman" w:eastAsia="方正仿宋简体" w:cs="Times New Roman"/>
          <w:sz w:val="32"/>
          <w:szCs w:val="32"/>
        </w:rPr>
        <w:t>地方经济发展中的知识产权指标研究</w:t>
      </w:r>
    </w:p>
    <w:p>
      <w:pPr>
        <w:numPr>
          <w:ilvl w:val="0"/>
          <w:numId w:val="1"/>
        </w:numPr>
        <w:adjustRightInd w:val="0"/>
        <w:snapToGrid w:val="0"/>
        <w:spacing w:line="600" w:lineRule="exact"/>
        <w:rPr>
          <w:rFonts w:hint="eastAsia" w:ascii="Times New Roman" w:hAnsi="Times New Roman" w:eastAsia="方正仿宋简体" w:cs="Times New Roman"/>
          <w:sz w:val="32"/>
          <w:szCs w:val="32"/>
        </w:rPr>
      </w:pPr>
      <w:r>
        <w:rPr>
          <w:rFonts w:ascii="Times New Roman" w:eastAsia="方正仿宋简体" w:cs="Times New Roman"/>
          <w:sz w:val="32"/>
          <w:szCs w:val="32"/>
        </w:rPr>
        <w:t>我省知识产权</w:t>
      </w:r>
      <w:r>
        <w:rPr>
          <w:rFonts w:hint="eastAsia" w:ascii="方正仿宋简体" w:hAnsi="Times New Roman" w:eastAsia="方正仿宋简体" w:cs="Times New Roman"/>
          <w:sz w:val="32"/>
          <w:szCs w:val="32"/>
        </w:rPr>
        <w:t>“</w:t>
      </w:r>
      <w:r>
        <w:rPr>
          <w:rFonts w:hint="eastAsia" w:ascii="方正仿宋简体" w:eastAsia="方正仿宋简体" w:cs="Times New Roman"/>
          <w:sz w:val="32"/>
          <w:szCs w:val="32"/>
        </w:rPr>
        <w:t>十四五</w:t>
      </w:r>
      <w:r>
        <w:rPr>
          <w:rFonts w:hint="eastAsia" w:ascii="方正仿宋简体" w:hAnsi="Times New Roman" w:eastAsia="方正仿宋简体" w:cs="Times New Roman"/>
          <w:sz w:val="32"/>
          <w:szCs w:val="32"/>
        </w:rPr>
        <w:t>”</w:t>
      </w:r>
      <w:r>
        <w:rPr>
          <w:rFonts w:ascii="Times New Roman" w:eastAsia="方正仿宋简体" w:cs="Times New Roman"/>
          <w:sz w:val="32"/>
          <w:szCs w:val="32"/>
        </w:rPr>
        <w:t>规划战略研究</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完善党委领导、人大主导、政府依托、各方参与的立法工作格局</w:t>
      </w:r>
      <w:r>
        <w:rPr>
          <w:rFonts w:hint="eastAsia" w:ascii="Times New Roman" w:eastAsia="方正仿宋简体" w:cs="Times New Roman"/>
          <w:sz w:val="32"/>
          <w:szCs w:val="32"/>
        </w:rPr>
        <w:t>研究</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完善人大论证、评估、评议、听证制度</w:t>
      </w:r>
      <w:r>
        <w:rPr>
          <w:rFonts w:hint="eastAsia" w:ascii="Times New Roman" w:eastAsia="方正仿宋简体" w:cs="Times New Roman"/>
          <w:sz w:val="32"/>
          <w:szCs w:val="32"/>
        </w:rPr>
        <w:t>研究</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民营、小微企业融资难</w:t>
      </w:r>
      <w:r>
        <w:rPr>
          <w:rFonts w:hint="eastAsia" w:ascii="Times New Roman" w:eastAsia="方正仿宋简体" w:cs="Times New Roman"/>
          <w:sz w:val="32"/>
          <w:szCs w:val="32"/>
        </w:rPr>
        <w:t>问题及对策研究</w:t>
      </w:r>
    </w:p>
    <w:p>
      <w:pPr>
        <w:numPr>
          <w:ilvl w:val="0"/>
          <w:numId w:val="1"/>
        </w:numPr>
        <w:adjustRightInd w:val="0"/>
        <w:snapToGrid w:val="0"/>
        <w:spacing w:line="600" w:lineRule="exact"/>
        <w:rPr>
          <w:rFonts w:hint="eastAsia" w:ascii="Times New Roman" w:hAnsi="Times New Roman" w:eastAsia="方正仿宋简体" w:cs="Times New Roman"/>
          <w:sz w:val="32"/>
          <w:szCs w:val="32"/>
        </w:rPr>
      </w:pPr>
      <w:r>
        <w:rPr>
          <w:rFonts w:ascii="Times New Roman" w:eastAsia="方正仿宋简体" w:cs="Times New Roman"/>
          <w:sz w:val="32"/>
          <w:szCs w:val="32"/>
        </w:rPr>
        <w:t>黑龙江省营商环境评价指标体系构建策略研究</w:t>
      </w:r>
    </w:p>
    <w:p>
      <w:pPr>
        <w:numPr>
          <w:ilvl w:val="0"/>
          <w:numId w:val="1"/>
        </w:numPr>
        <w:adjustRightInd w:val="0"/>
        <w:snapToGrid w:val="0"/>
        <w:spacing w:line="600" w:lineRule="exact"/>
        <w:rPr>
          <w:rFonts w:hint="eastAsia" w:ascii="Times New Roman" w:hAnsi="Times New Roman" w:eastAsia="方正仿宋简体" w:cs="Times New Roman"/>
          <w:sz w:val="32"/>
          <w:szCs w:val="32"/>
        </w:rPr>
      </w:pPr>
      <w:r>
        <w:rPr>
          <w:rFonts w:ascii="Times New Roman" w:eastAsia="方正仿宋简体" w:cs="Times New Roman"/>
          <w:sz w:val="32"/>
          <w:szCs w:val="32"/>
        </w:rPr>
        <w:t>黑龙江省企业通过参展开发域外市场情况研究</w:t>
      </w:r>
    </w:p>
    <w:p>
      <w:pPr>
        <w:numPr>
          <w:ilvl w:val="0"/>
          <w:numId w:val="1"/>
        </w:numPr>
        <w:adjustRightInd w:val="0"/>
        <w:snapToGrid w:val="0"/>
        <w:spacing w:line="600" w:lineRule="exact"/>
        <w:rPr>
          <w:rFonts w:hint="eastAsia" w:ascii="Times New Roman" w:hAnsi="Times New Roman" w:eastAsia="方正仿宋简体" w:cs="Times New Roman"/>
          <w:sz w:val="32"/>
          <w:szCs w:val="32"/>
        </w:rPr>
      </w:pPr>
      <w:r>
        <w:rPr>
          <w:rFonts w:ascii="Times New Roman" w:eastAsia="方正仿宋简体" w:cs="Times New Roman"/>
          <w:sz w:val="32"/>
          <w:szCs w:val="32"/>
        </w:rPr>
        <w:t>针对俄远东地区</w:t>
      </w:r>
      <w:r>
        <w:rPr>
          <w:rFonts w:ascii="Times New Roman" w:hAnsi="Times New Roman" w:eastAsia="方正仿宋简体" w:cs="Times New Roman"/>
          <w:sz w:val="32"/>
          <w:szCs w:val="32"/>
        </w:rPr>
        <w:t>“</w:t>
      </w:r>
      <w:r>
        <w:rPr>
          <w:rFonts w:ascii="Times New Roman" w:eastAsia="方正仿宋简体" w:cs="Times New Roman"/>
          <w:sz w:val="32"/>
          <w:szCs w:val="32"/>
        </w:rPr>
        <w:t>中国威胁论</w:t>
      </w:r>
      <w:r>
        <w:rPr>
          <w:rFonts w:ascii="Times New Roman" w:hAnsi="Times New Roman" w:eastAsia="方正仿宋简体" w:cs="Times New Roman"/>
          <w:sz w:val="32"/>
          <w:szCs w:val="32"/>
        </w:rPr>
        <w:t>”</w:t>
      </w:r>
      <w:r>
        <w:rPr>
          <w:rFonts w:ascii="Times New Roman" w:eastAsia="方正仿宋简体" w:cs="Times New Roman"/>
          <w:sz w:val="32"/>
          <w:szCs w:val="32"/>
        </w:rPr>
        <w:t>声音的对策研究</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我省对港投资及金融合作建议</w:t>
      </w:r>
    </w:p>
    <w:p>
      <w:pPr>
        <w:numPr>
          <w:ilvl w:val="0"/>
          <w:numId w:val="1"/>
        </w:numPr>
        <w:adjustRightInd w:val="0"/>
        <w:snapToGrid w:val="0"/>
        <w:spacing w:line="600" w:lineRule="exact"/>
        <w:rPr>
          <w:rFonts w:hint="eastAsia" w:ascii="Times New Roman" w:hAnsi="Times New Roman" w:eastAsia="方正仿宋简体" w:cs="Times New Roman"/>
          <w:sz w:val="32"/>
          <w:szCs w:val="32"/>
        </w:rPr>
      </w:pPr>
      <w:r>
        <w:rPr>
          <w:rFonts w:ascii="Times New Roman" w:eastAsia="方正仿宋简体" w:cs="Times New Roman"/>
          <w:sz w:val="32"/>
          <w:szCs w:val="32"/>
        </w:rPr>
        <w:t>我省与印度在</w:t>
      </w:r>
      <w:r>
        <w:rPr>
          <w:rFonts w:ascii="Times New Roman" w:hAnsi="Times New Roman" w:eastAsia="方正仿宋简体" w:cs="Times New Roman"/>
          <w:sz w:val="32"/>
          <w:szCs w:val="32"/>
        </w:rPr>
        <w:t>IT</w:t>
      </w:r>
      <w:r>
        <w:rPr>
          <w:rFonts w:ascii="Times New Roman" w:eastAsia="方正仿宋简体" w:cs="Times New Roman"/>
          <w:sz w:val="32"/>
          <w:szCs w:val="32"/>
        </w:rPr>
        <w:t>、制药等领域合作策略研究</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如何加强省政协对市县政协工作指导</w:t>
      </w:r>
      <w:r>
        <w:rPr>
          <w:rFonts w:hint="eastAsia" w:ascii="Times New Roman" w:eastAsia="方正仿宋简体" w:cs="Times New Roman"/>
          <w:sz w:val="32"/>
          <w:szCs w:val="32"/>
        </w:rPr>
        <w:t>研究</w:t>
      </w:r>
    </w:p>
    <w:p>
      <w:pPr>
        <w:numPr>
          <w:ilvl w:val="0"/>
          <w:numId w:val="1"/>
        </w:numPr>
        <w:adjustRightInd w:val="0"/>
        <w:snapToGrid w:val="0"/>
        <w:spacing w:line="600" w:lineRule="exact"/>
        <w:rPr>
          <w:rFonts w:hint="eastAsia" w:ascii="Times New Roman" w:hAnsi="Times New Roman" w:eastAsia="方正仿宋简体" w:cs="Times New Roman"/>
          <w:sz w:val="32"/>
          <w:szCs w:val="32"/>
        </w:rPr>
      </w:pPr>
      <w:r>
        <w:rPr>
          <w:rFonts w:ascii="Times New Roman" w:eastAsia="方正仿宋简体" w:cs="Times New Roman"/>
          <w:sz w:val="32"/>
          <w:szCs w:val="32"/>
        </w:rPr>
        <w:t>我省农村人居环境整治的对策思考</w:t>
      </w:r>
    </w:p>
    <w:p>
      <w:pPr>
        <w:numPr>
          <w:ilvl w:val="0"/>
          <w:numId w:val="1"/>
        </w:numPr>
        <w:adjustRightInd w:val="0"/>
        <w:snapToGrid w:val="0"/>
        <w:spacing w:line="600" w:lineRule="exact"/>
        <w:rPr>
          <w:rFonts w:ascii="Times New Roman" w:hAnsi="Times New Roman" w:eastAsia="方正仿宋简体" w:cs="Times New Roman"/>
          <w:sz w:val="32"/>
          <w:szCs w:val="32"/>
        </w:rPr>
      </w:pPr>
      <w:r>
        <w:rPr>
          <w:rFonts w:ascii="Times New Roman" w:eastAsia="方正仿宋简体" w:cs="Times New Roman"/>
          <w:sz w:val="32"/>
          <w:szCs w:val="32"/>
        </w:rPr>
        <w:t>关于基层作协组织业余化对文学发展的有利及不利影响</w:t>
      </w:r>
      <w:r>
        <w:rPr>
          <w:rFonts w:hint="eastAsia" w:ascii="Times New Roman" w:eastAsia="方正仿宋简体" w:cs="Times New Roman"/>
          <w:sz w:val="32"/>
          <w:szCs w:val="32"/>
        </w:rPr>
        <w:t>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96827"/>
    <w:multiLevelType w:val="multilevel"/>
    <w:tmpl w:val="21696827"/>
    <w:lvl w:ilvl="0" w:tentative="0">
      <w:start w:val="1"/>
      <w:numFmt w:val="decimal"/>
      <w:lvlText w:val="%1."/>
      <w:lvlJc w:val="left"/>
      <w:pPr>
        <w:ind w:left="1129" w:hanging="420"/>
      </w:p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340D82"/>
    <w:rsid w:val="6B340D82"/>
    <w:rsid w:val="7A9C6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2020-06-02T09:18:00Z</dcterms:created>
  <dc:creator>Administrator</dc:creator>
  <cp:lastModifiedBy>Administrator</cp:lastModifiedBy>
  <dcterms:modified xsi:type="dcterms:W3CDTF">2020-06-03T05:42:27Z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